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附件：参会回执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="仿宋" w:hAnsi="仿宋" w:eastAsia="仿宋" w:cstheme="minorBidi"/>
          <w:b w:val="0"/>
          <w:bCs w:val="0"/>
          <w:sz w:val="28"/>
          <w:szCs w:val="28"/>
        </w:rPr>
      </w:pPr>
      <w:r>
        <w:rPr>
          <w:rFonts w:hint="eastAsia" w:ascii="仿宋" w:hAnsi="仿宋" w:eastAsia="仿宋" w:cstheme="minorBidi"/>
          <w:b w:val="0"/>
          <w:bCs w:val="0"/>
          <w:sz w:val="28"/>
          <w:szCs w:val="28"/>
        </w:rPr>
        <w:t>IEEE 人工智能与控制论国际研讨会回执</w:t>
      </w:r>
    </w:p>
    <w:tbl>
      <w:tblPr>
        <w:tblStyle w:val="5"/>
        <w:tblW w:w="83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544"/>
        <w:gridCol w:w="1582"/>
        <w:gridCol w:w="19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  位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职称/职务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 注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2018-05-15T09:57:27Z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